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9B5C6" w14:textId="5E919A44" w:rsidR="001E0B37" w:rsidRPr="00F25886" w:rsidRDefault="001E0B37" w:rsidP="001E0B37">
      <w:pPr>
        <w:spacing w:after="200" w:line="276" w:lineRule="auto"/>
        <w:rPr>
          <w:rFonts w:asciiTheme="minorHAnsi" w:hAnsiTheme="minorHAnsi" w:cstheme="minorHAnsi"/>
          <w:b/>
          <w:bCs/>
          <w:color w:val="FF0000"/>
        </w:rPr>
      </w:pPr>
      <w:r w:rsidRPr="00F25886">
        <w:rPr>
          <w:rFonts w:asciiTheme="minorHAnsi" w:hAnsiTheme="minorHAnsi" w:cstheme="minorHAnsi"/>
          <w:b/>
          <w:bCs/>
          <w:color w:val="FF0000"/>
        </w:rPr>
        <w:t>Category 1: Immediate reporting telephonically followed by written or electronic notification within 24hrs of diagnosing a case</w:t>
      </w:r>
    </w:p>
    <w:p w14:paraId="168F4E90" w14:textId="77777777" w:rsidR="001E0B37" w:rsidRPr="00F25886" w:rsidRDefault="001E0B37" w:rsidP="001E0B37">
      <w:pPr>
        <w:rPr>
          <w:rFonts w:asciiTheme="minorHAnsi" w:hAnsiTheme="minorHAnsi" w:cstheme="minorHAnsi"/>
          <w:b/>
          <w:bCs/>
          <w:color w:val="FF0000"/>
        </w:rPr>
      </w:pPr>
    </w:p>
    <w:p w14:paraId="12C5B7CB" w14:textId="77777777" w:rsidR="001E0B37" w:rsidRPr="00F25886" w:rsidRDefault="001E0B37" w:rsidP="001E0B37">
      <w:pPr>
        <w:jc w:val="center"/>
        <w:rPr>
          <w:rFonts w:asciiTheme="minorHAnsi" w:hAnsiTheme="minorHAnsi" w:cstheme="minorHAnsi"/>
          <w:b/>
          <w:color w:val="000000"/>
          <w:sz w:val="24"/>
          <w:szCs w:val="24"/>
          <w:lang w:val="en-US"/>
        </w:rPr>
      </w:pPr>
      <w:r w:rsidRPr="00F25886">
        <w:rPr>
          <w:rFonts w:asciiTheme="minorHAnsi" w:hAnsiTheme="minorHAnsi" w:cstheme="minorHAnsi"/>
          <w:b/>
          <w:color w:val="000000"/>
          <w:sz w:val="24"/>
          <w:szCs w:val="24"/>
          <w:lang w:val="en-US"/>
        </w:rPr>
        <w:t>MENINGOCOCCAL DISEASE</w:t>
      </w:r>
    </w:p>
    <w:p w14:paraId="4628932E" w14:textId="77777777" w:rsidR="001E0B37" w:rsidRPr="00F25886" w:rsidRDefault="001E0B37" w:rsidP="001E0B37">
      <w:pPr>
        <w:jc w:val="center"/>
        <w:rPr>
          <w:rFonts w:asciiTheme="minorHAnsi" w:hAnsiTheme="minorHAnsi" w:cstheme="minorHAnsi"/>
          <w:b/>
          <w:color w:val="000000"/>
          <w:sz w:val="24"/>
          <w:szCs w:val="24"/>
          <w:lang w:val="en-US"/>
        </w:rPr>
      </w:pPr>
    </w:p>
    <w:p w14:paraId="1DA31A8A" w14:textId="77777777" w:rsidR="001E0B37" w:rsidRPr="00F25886" w:rsidRDefault="001E0B37" w:rsidP="001E0B37">
      <w:pPr>
        <w:jc w:val="center"/>
        <w:rPr>
          <w:rFonts w:asciiTheme="minorHAnsi" w:hAnsiTheme="minorHAnsi" w:cstheme="minorHAnsi"/>
        </w:rPr>
      </w:pPr>
    </w:p>
    <w:tbl>
      <w:tblPr>
        <w:tblStyle w:val="TableGrid"/>
        <w:tblW w:w="15735" w:type="dxa"/>
        <w:tblInd w:w="-743" w:type="dxa"/>
        <w:tblLook w:val="04A0" w:firstRow="1" w:lastRow="0" w:firstColumn="1" w:lastColumn="0" w:noHBand="0" w:noVBand="1"/>
      </w:tblPr>
      <w:tblGrid>
        <w:gridCol w:w="4282"/>
        <w:gridCol w:w="3119"/>
        <w:gridCol w:w="2976"/>
        <w:gridCol w:w="2098"/>
        <w:gridCol w:w="3260"/>
      </w:tblGrid>
      <w:tr w:rsidR="001E0B37" w:rsidRPr="00F25886" w14:paraId="4E66B1E4" w14:textId="77777777" w:rsidTr="000006D7">
        <w:tc>
          <w:tcPr>
            <w:tcW w:w="4282" w:type="dxa"/>
          </w:tcPr>
          <w:p w14:paraId="153DD6E9" w14:textId="77777777" w:rsidR="001E0B37" w:rsidRPr="00F25886" w:rsidRDefault="001E0B37"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Why is surveillance necessary?</w:t>
            </w:r>
          </w:p>
        </w:tc>
        <w:tc>
          <w:tcPr>
            <w:tcW w:w="3119" w:type="dxa"/>
          </w:tcPr>
          <w:p w14:paraId="006A53A8" w14:textId="77777777" w:rsidR="001E0B37" w:rsidRPr="00F25886" w:rsidRDefault="001E0B37"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Who must notify and when?</w:t>
            </w:r>
          </w:p>
          <w:p w14:paraId="0A18118D" w14:textId="77777777" w:rsidR="001E0B37" w:rsidRPr="00F25886" w:rsidRDefault="001E0B37" w:rsidP="000006D7">
            <w:pPr>
              <w:pStyle w:val="ListParagraph"/>
              <w:ind w:left="251"/>
              <w:rPr>
                <w:rFonts w:asciiTheme="minorHAnsi" w:hAnsiTheme="minorHAnsi" w:cstheme="minorHAnsi"/>
              </w:rPr>
            </w:pPr>
          </w:p>
        </w:tc>
        <w:tc>
          <w:tcPr>
            <w:tcW w:w="2976" w:type="dxa"/>
          </w:tcPr>
          <w:p w14:paraId="58660692" w14:textId="77777777" w:rsidR="001E0B37" w:rsidRPr="00F25886" w:rsidRDefault="001E0B37"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Suspected case definition</w:t>
            </w:r>
          </w:p>
          <w:p w14:paraId="5D16E4CB" w14:textId="77777777" w:rsidR="001E0B37" w:rsidRPr="00F25886" w:rsidRDefault="001E0B37" w:rsidP="000006D7">
            <w:pPr>
              <w:rPr>
                <w:rFonts w:asciiTheme="minorHAnsi" w:hAnsiTheme="minorHAnsi" w:cstheme="minorHAnsi"/>
                <w:b/>
                <w:color w:val="538135" w:themeColor="accent6" w:themeShade="BF"/>
              </w:rPr>
            </w:pPr>
          </w:p>
        </w:tc>
        <w:tc>
          <w:tcPr>
            <w:tcW w:w="2098" w:type="dxa"/>
          </w:tcPr>
          <w:p w14:paraId="5254287F" w14:textId="77777777" w:rsidR="001E0B37" w:rsidRPr="00F25886" w:rsidRDefault="001E0B37"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Probable case definition</w:t>
            </w:r>
          </w:p>
        </w:tc>
        <w:tc>
          <w:tcPr>
            <w:tcW w:w="3260" w:type="dxa"/>
          </w:tcPr>
          <w:p w14:paraId="01A2676F" w14:textId="77777777" w:rsidR="001E0B37" w:rsidRPr="00F25886" w:rsidRDefault="001E0B37"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Confirmed case definition</w:t>
            </w:r>
          </w:p>
        </w:tc>
      </w:tr>
      <w:tr w:rsidR="001E0B37" w:rsidRPr="00F25886" w14:paraId="2002C4FD" w14:textId="77777777" w:rsidTr="000006D7">
        <w:tc>
          <w:tcPr>
            <w:tcW w:w="4282" w:type="dxa"/>
            <w:shd w:val="clear" w:color="auto" w:fill="D9D9D9" w:themeFill="background1" w:themeFillShade="D9"/>
          </w:tcPr>
          <w:p w14:paraId="54C343E1" w14:textId="77777777" w:rsidR="001E0B37" w:rsidRPr="00F25886" w:rsidRDefault="001E0B37" w:rsidP="000006D7">
            <w:pPr>
              <w:rPr>
                <w:rFonts w:asciiTheme="minorHAnsi" w:hAnsiTheme="minorHAnsi" w:cstheme="minorHAnsi"/>
              </w:rPr>
            </w:pPr>
          </w:p>
        </w:tc>
        <w:tc>
          <w:tcPr>
            <w:tcW w:w="3119" w:type="dxa"/>
            <w:shd w:val="clear" w:color="auto" w:fill="D9D9D9" w:themeFill="background1" w:themeFillShade="D9"/>
          </w:tcPr>
          <w:p w14:paraId="6210020D" w14:textId="77777777" w:rsidR="001E0B37" w:rsidRPr="00F25886" w:rsidRDefault="001E0B37" w:rsidP="000006D7">
            <w:pPr>
              <w:rPr>
                <w:rFonts w:asciiTheme="minorHAnsi" w:hAnsiTheme="minorHAnsi" w:cstheme="minorHAnsi"/>
              </w:rPr>
            </w:pPr>
          </w:p>
        </w:tc>
        <w:tc>
          <w:tcPr>
            <w:tcW w:w="2976" w:type="dxa"/>
            <w:shd w:val="clear" w:color="auto" w:fill="D9D9D9" w:themeFill="background1" w:themeFillShade="D9"/>
          </w:tcPr>
          <w:p w14:paraId="1B2B9B78" w14:textId="77777777" w:rsidR="001E0B37" w:rsidRPr="00F25886" w:rsidRDefault="001E0B37" w:rsidP="000006D7">
            <w:pPr>
              <w:rPr>
                <w:rFonts w:asciiTheme="minorHAnsi" w:hAnsiTheme="minorHAnsi" w:cstheme="minorHAnsi"/>
              </w:rPr>
            </w:pPr>
          </w:p>
        </w:tc>
        <w:tc>
          <w:tcPr>
            <w:tcW w:w="2098" w:type="dxa"/>
            <w:shd w:val="clear" w:color="auto" w:fill="D9D9D9" w:themeFill="background1" w:themeFillShade="D9"/>
          </w:tcPr>
          <w:p w14:paraId="72F80FE6" w14:textId="77777777" w:rsidR="001E0B37" w:rsidRPr="00F25886" w:rsidRDefault="001E0B37" w:rsidP="000006D7">
            <w:pPr>
              <w:rPr>
                <w:rFonts w:asciiTheme="minorHAnsi" w:hAnsiTheme="minorHAnsi" w:cstheme="minorHAnsi"/>
              </w:rPr>
            </w:pPr>
          </w:p>
        </w:tc>
        <w:tc>
          <w:tcPr>
            <w:tcW w:w="3260" w:type="dxa"/>
            <w:shd w:val="clear" w:color="auto" w:fill="D9D9D9" w:themeFill="background1" w:themeFillShade="D9"/>
          </w:tcPr>
          <w:p w14:paraId="3186EB6F" w14:textId="77777777" w:rsidR="001E0B37" w:rsidRPr="00F25886" w:rsidRDefault="001E0B37" w:rsidP="000006D7">
            <w:pPr>
              <w:rPr>
                <w:rFonts w:asciiTheme="minorHAnsi" w:hAnsiTheme="minorHAnsi" w:cstheme="minorHAnsi"/>
              </w:rPr>
            </w:pPr>
          </w:p>
        </w:tc>
      </w:tr>
      <w:tr w:rsidR="001E0B37" w:rsidRPr="00F25886" w14:paraId="3199CB91" w14:textId="77777777" w:rsidTr="000006D7">
        <w:tc>
          <w:tcPr>
            <w:tcW w:w="4282" w:type="dxa"/>
          </w:tcPr>
          <w:p w14:paraId="254BD236"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Meningococcal disease is caused by </w:t>
            </w:r>
            <w:r w:rsidRPr="00F25886">
              <w:rPr>
                <w:rFonts w:asciiTheme="minorHAnsi" w:hAnsiTheme="minorHAnsi" w:cstheme="minorHAnsi"/>
                <w:i/>
                <w:sz w:val="20"/>
                <w:szCs w:val="20"/>
              </w:rPr>
              <w:t>Neisseria meningitidis</w:t>
            </w:r>
            <w:r w:rsidRPr="00F25886">
              <w:rPr>
                <w:rFonts w:asciiTheme="minorHAnsi" w:hAnsiTheme="minorHAnsi" w:cstheme="minorHAnsi"/>
                <w:sz w:val="20"/>
                <w:szCs w:val="20"/>
              </w:rPr>
              <w:t>. It can present as meningitis, septicaemia, respiratory or focal infections. It is spread through droplets or intimate contact with nasopharyngeal secretions. The incubation period of meningococcal disease is 3 to 5 days</w:t>
            </w:r>
          </w:p>
          <w:p w14:paraId="68CC3336" w14:textId="77777777" w:rsidR="001E0B37" w:rsidRPr="00F25886" w:rsidRDefault="001E0B37" w:rsidP="000006D7">
            <w:pPr>
              <w:rPr>
                <w:rFonts w:asciiTheme="minorHAnsi" w:hAnsiTheme="minorHAnsi" w:cstheme="minorHAnsi"/>
                <w:sz w:val="20"/>
                <w:szCs w:val="20"/>
              </w:rPr>
            </w:pPr>
          </w:p>
          <w:p w14:paraId="7CD59766"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Meningococcal disease should be notified, as additional cases can be prevented by giving chemoprophylaxis (antibiotics) to persons who have been in contact with cases. </w:t>
            </w:r>
          </w:p>
        </w:tc>
        <w:tc>
          <w:tcPr>
            <w:tcW w:w="3119" w:type="dxa"/>
          </w:tcPr>
          <w:p w14:paraId="291E1CC4"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Any clinician who suspects a case of meningococcal disease should notify the case immediately before laboratory results are available.  </w:t>
            </w:r>
          </w:p>
          <w:p w14:paraId="034256A9" w14:textId="77777777" w:rsidR="001E0B37" w:rsidRPr="00F25886" w:rsidRDefault="001E0B37" w:rsidP="000006D7">
            <w:pPr>
              <w:rPr>
                <w:rFonts w:asciiTheme="minorHAnsi" w:hAnsiTheme="minorHAnsi" w:cstheme="minorHAnsi"/>
                <w:sz w:val="20"/>
                <w:szCs w:val="20"/>
              </w:rPr>
            </w:pPr>
          </w:p>
          <w:p w14:paraId="23034180" w14:textId="77777777" w:rsidR="001E0B37" w:rsidRPr="00F25886" w:rsidRDefault="001E0B37" w:rsidP="000006D7">
            <w:pPr>
              <w:rPr>
                <w:rFonts w:asciiTheme="minorHAnsi" w:hAnsiTheme="minorHAnsi" w:cstheme="minorHAnsi"/>
                <w:b/>
                <w:sz w:val="20"/>
                <w:szCs w:val="20"/>
              </w:rPr>
            </w:pPr>
            <w:r w:rsidRPr="00F25886">
              <w:rPr>
                <w:rFonts w:asciiTheme="minorHAnsi" w:hAnsiTheme="minorHAnsi" w:cstheme="minorHAnsi"/>
                <w:sz w:val="20"/>
                <w:szCs w:val="20"/>
              </w:rPr>
              <w:t>Health authorities should identify contacts and administer prophylactic antibiotics as soon as possible before laboratory confirmation is available.</w:t>
            </w:r>
          </w:p>
        </w:tc>
        <w:tc>
          <w:tcPr>
            <w:tcW w:w="2976" w:type="dxa"/>
          </w:tcPr>
          <w:p w14:paraId="4EF49681"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A clinical diagnosis of meningitis, septicaemia or other invasive disease (e.g. orbital cellulitis, septic arthritis) where the physician considers that meningococcal disease is the most likely diagnosis. Cases may present with fever, petechial rash and may progress rapidly to purpura fulminans, shock, and death.</w:t>
            </w:r>
          </w:p>
          <w:p w14:paraId="183EBCE4" w14:textId="77777777" w:rsidR="001E0B37" w:rsidRPr="00F25886" w:rsidRDefault="001E0B37" w:rsidP="000006D7">
            <w:pPr>
              <w:rPr>
                <w:rFonts w:asciiTheme="minorHAnsi" w:hAnsiTheme="minorHAnsi" w:cstheme="minorHAnsi"/>
                <w:sz w:val="20"/>
                <w:szCs w:val="20"/>
              </w:rPr>
            </w:pPr>
          </w:p>
          <w:p w14:paraId="39E12B21" w14:textId="77777777" w:rsidR="001E0B37" w:rsidRPr="00F25886" w:rsidRDefault="001E0B37" w:rsidP="000006D7">
            <w:pPr>
              <w:rPr>
                <w:rFonts w:asciiTheme="minorHAnsi" w:hAnsiTheme="minorHAnsi" w:cstheme="minorHAnsi"/>
                <w:sz w:val="20"/>
                <w:szCs w:val="20"/>
              </w:rPr>
            </w:pPr>
          </w:p>
        </w:tc>
        <w:tc>
          <w:tcPr>
            <w:tcW w:w="2098" w:type="dxa"/>
          </w:tcPr>
          <w:p w14:paraId="0E406297"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A suspected case is regarded as a probable case.</w:t>
            </w:r>
          </w:p>
        </w:tc>
        <w:tc>
          <w:tcPr>
            <w:tcW w:w="3260" w:type="dxa"/>
          </w:tcPr>
          <w:p w14:paraId="5712E6EA"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The isolation of </w:t>
            </w:r>
            <w:r w:rsidRPr="00F25886">
              <w:rPr>
                <w:rFonts w:asciiTheme="minorHAnsi" w:hAnsiTheme="minorHAnsi" w:cstheme="minorHAnsi"/>
                <w:i/>
                <w:sz w:val="20"/>
                <w:szCs w:val="20"/>
              </w:rPr>
              <w:t>N. meningitidis</w:t>
            </w:r>
            <w:r w:rsidRPr="00F25886">
              <w:rPr>
                <w:rFonts w:asciiTheme="minorHAnsi" w:hAnsiTheme="minorHAnsi" w:cstheme="minorHAnsi"/>
                <w:sz w:val="20"/>
                <w:szCs w:val="20"/>
              </w:rPr>
              <w:t xml:space="preserve"> from a normally sterile site specimen (e.g., blood; cerebrospinal, pericardial or synovial fluid), or a positive Gram’s  stain and latex result, or a positive PCR result.</w:t>
            </w:r>
          </w:p>
          <w:p w14:paraId="0B31715C" w14:textId="77777777" w:rsidR="001E0B37" w:rsidRPr="00F25886" w:rsidRDefault="001E0B37" w:rsidP="000006D7">
            <w:pPr>
              <w:rPr>
                <w:rFonts w:asciiTheme="minorHAnsi" w:hAnsiTheme="minorHAnsi" w:cstheme="minorHAnsi"/>
                <w:sz w:val="20"/>
                <w:szCs w:val="20"/>
              </w:rPr>
            </w:pPr>
          </w:p>
          <w:p w14:paraId="02D67B71"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Although not meeting the case definition, </w:t>
            </w:r>
            <w:r w:rsidRPr="00F25886">
              <w:rPr>
                <w:rFonts w:asciiTheme="minorHAnsi" w:hAnsiTheme="minorHAnsi" w:cstheme="minorHAnsi"/>
                <w:iCs/>
                <w:sz w:val="20"/>
                <w:szCs w:val="20"/>
              </w:rPr>
              <w:t>meningococcal conjunctivitis</w:t>
            </w:r>
            <w:r w:rsidRPr="00F25886">
              <w:rPr>
                <w:rFonts w:asciiTheme="minorHAnsi" w:hAnsiTheme="minorHAnsi" w:cstheme="minorHAnsi"/>
                <w:i/>
                <w:iCs/>
                <w:sz w:val="20"/>
                <w:szCs w:val="20"/>
              </w:rPr>
              <w:t xml:space="preserve"> </w:t>
            </w:r>
            <w:r w:rsidRPr="00F25886">
              <w:rPr>
                <w:rFonts w:asciiTheme="minorHAnsi" w:hAnsiTheme="minorHAnsi" w:cstheme="minorHAnsi"/>
                <w:sz w:val="20"/>
                <w:szCs w:val="20"/>
              </w:rPr>
              <w:t>is considered an indication for public health action because of the high immediate risk of invasive disease.</w:t>
            </w:r>
          </w:p>
          <w:p w14:paraId="794A472F" w14:textId="77777777" w:rsidR="001E0B37" w:rsidRPr="00F25886" w:rsidRDefault="001E0B37" w:rsidP="000006D7">
            <w:pPr>
              <w:rPr>
                <w:rFonts w:asciiTheme="minorHAnsi" w:hAnsiTheme="minorHAnsi" w:cstheme="minorHAnsi"/>
                <w:sz w:val="20"/>
                <w:szCs w:val="20"/>
              </w:rPr>
            </w:pPr>
          </w:p>
        </w:tc>
      </w:tr>
      <w:tr w:rsidR="001E0B37" w:rsidRPr="00F25886" w14:paraId="43317C77" w14:textId="77777777" w:rsidTr="000006D7">
        <w:tc>
          <w:tcPr>
            <w:tcW w:w="15735" w:type="dxa"/>
            <w:gridSpan w:val="5"/>
          </w:tcPr>
          <w:p w14:paraId="74233D09" w14:textId="77777777" w:rsidR="001E0B37" w:rsidRPr="00F25886" w:rsidRDefault="001E0B37"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 xml:space="preserve">Additional notes </w:t>
            </w:r>
          </w:p>
          <w:p w14:paraId="06E9676D"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szCs w:val="20"/>
              </w:rPr>
              <w:t xml:space="preserve">The NICD Centre for Respiratory Disease and Meningitis (CRDM) is able to conduct PCR for meningococcal disease and other pathogens in cases of unexplained death where meningococcal disease or other infectious agent is suspected. Post-mortem specimens may be submitted to the CRDM. For further information or assistance please contact </w:t>
            </w:r>
            <w:hyperlink r:id="rId5" w:history="1">
              <w:r w:rsidRPr="00A22740">
                <w:rPr>
                  <w:rStyle w:val="Hyperlink"/>
                  <w:rFonts w:asciiTheme="minorHAnsi" w:hAnsiTheme="minorHAnsi" w:cstheme="minorHAnsi"/>
                  <w:sz w:val="20"/>
                  <w:szCs w:val="20"/>
                </w:rPr>
                <w:t>annev@nicd.ac.za</w:t>
              </w:r>
            </w:hyperlink>
            <w:r w:rsidRPr="00F25886">
              <w:rPr>
                <w:rFonts w:asciiTheme="minorHAnsi" w:hAnsiTheme="minorHAnsi" w:cstheme="minorHAnsi"/>
                <w:sz w:val="20"/>
                <w:szCs w:val="20"/>
              </w:rPr>
              <w:t xml:space="preserve"> </w:t>
            </w:r>
          </w:p>
        </w:tc>
      </w:tr>
      <w:tr w:rsidR="001E0B37" w:rsidRPr="00F25886" w14:paraId="49DF6EAE" w14:textId="77777777" w:rsidTr="000006D7">
        <w:tc>
          <w:tcPr>
            <w:tcW w:w="15735" w:type="dxa"/>
            <w:gridSpan w:val="5"/>
          </w:tcPr>
          <w:p w14:paraId="5C80C017" w14:textId="77777777" w:rsidR="001E0B37" w:rsidRPr="00F25886" w:rsidRDefault="001E0B37"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Additional resources</w:t>
            </w:r>
          </w:p>
          <w:p w14:paraId="52560A8C" w14:textId="77777777" w:rsidR="001E0B37" w:rsidRPr="00F25886" w:rsidRDefault="001E0B37" w:rsidP="000006D7">
            <w:pPr>
              <w:rPr>
                <w:rFonts w:asciiTheme="minorHAnsi" w:hAnsiTheme="minorHAnsi" w:cstheme="minorHAnsi"/>
                <w:sz w:val="20"/>
                <w:szCs w:val="20"/>
              </w:rPr>
            </w:pPr>
            <w:r w:rsidRPr="00F25886">
              <w:rPr>
                <w:rFonts w:asciiTheme="minorHAnsi" w:hAnsiTheme="minorHAnsi" w:cstheme="minorHAnsi"/>
                <w:sz w:val="20"/>
              </w:rPr>
              <w:t xml:space="preserve">The following resources are available at </w:t>
            </w:r>
            <w:hyperlink r:id="rId6" w:history="1">
              <w:r w:rsidRPr="00F25886">
                <w:rPr>
                  <w:rStyle w:val="Hyperlink"/>
                  <w:rFonts w:asciiTheme="minorHAnsi" w:hAnsiTheme="minorHAnsi" w:cstheme="minorHAnsi"/>
                  <w:sz w:val="20"/>
                  <w:szCs w:val="20"/>
                </w:rPr>
                <w:t>http://www.nicd.ac.za/diseases-a-z-index/meningoccocal-disease/</w:t>
              </w:r>
            </w:hyperlink>
            <w:r w:rsidRPr="00F25886">
              <w:rPr>
                <w:rFonts w:asciiTheme="minorHAnsi" w:hAnsiTheme="minorHAnsi" w:cstheme="minorHAnsi"/>
                <w:sz w:val="20"/>
                <w:szCs w:val="20"/>
              </w:rPr>
              <w:t xml:space="preserve"> A</w:t>
            </w:r>
            <w:r w:rsidRPr="00F25886">
              <w:rPr>
                <w:rFonts w:asciiTheme="minorHAnsi" w:hAnsiTheme="minorHAnsi" w:cstheme="minorHAnsi"/>
                <w:sz w:val="20"/>
              </w:rPr>
              <w:t xml:space="preserve"> Frequently asked questions (FAQ) document, an update for healthcare workers (</w:t>
            </w:r>
            <w:proofErr w:type="spellStart"/>
            <w:r w:rsidRPr="00F25886">
              <w:rPr>
                <w:rFonts w:asciiTheme="minorHAnsi" w:hAnsiTheme="minorHAnsi" w:cstheme="minorHAnsi"/>
                <w:sz w:val="20"/>
              </w:rPr>
              <w:t>april</w:t>
            </w:r>
            <w:proofErr w:type="spellEnd"/>
            <w:r w:rsidRPr="00F25886">
              <w:rPr>
                <w:rFonts w:asciiTheme="minorHAnsi" w:hAnsiTheme="minorHAnsi" w:cstheme="minorHAnsi"/>
                <w:sz w:val="20"/>
              </w:rPr>
              <w:t xml:space="preserve"> 2019), a specimen submission form. </w:t>
            </w:r>
          </w:p>
        </w:tc>
      </w:tr>
    </w:tbl>
    <w:p w14:paraId="1BA5F08A" w14:textId="77777777" w:rsidR="001E0B37" w:rsidRPr="00F25886" w:rsidRDefault="001E0B37" w:rsidP="001E0B37">
      <w:pPr>
        <w:rPr>
          <w:rFonts w:asciiTheme="minorHAnsi" w:hAnsiTheme="minorHAnsi" w:cstheme="minorHAnsi"/>
        </w:rPr>
      </w:pPr>
    </w:p>
    <w:p w14:paraId="4809A41E" w14:textId="12D81DD0" w:rsidR="001E0B37" w:rsidRPr="00F25886" w:rsidRDefault="001E0B37" w:rsidP="001E0B37">
      <w:pPr>
        <w:spacing w:after="200" w:line="276" w:lineRule="auto"/>
        <w:rPr>
          <w:rFonts w:asciiTheme="minorHAnsi" w:hAnsiTheme="minorHAnsi" w:cstheme="minorHAnsi"/>
        </w:rPr>
      </w:pPr>
    </w:p>
    <w:sectPr w:rsidR="001E0B37" w:rsidRPr="00F25886" w:rsidSect="004A0C98">
      <w:headerReference w:type="default" r:id="rId7"/>
      <w:footerReference w:type="default" r:id="rId8"/>
      <w:footnotePr>
        <w:numFmt w:val="chicago"/>
        <w:numRestart w:val="eachPage"/>
      </w:footnotePr>
      <w:pgSz w:w="16838" w:h="11906" w:orient="landscape"/>
      <w:pgMar w:top="477" w:right="1440" w:bottom="709" w:left="1440"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7576" w14:textId="77777777" w:rsidR="00DF0E85" w:rsidRPr="00594B0C" w:rsidRDefault="001E0B37">
    <w:pPr>
      <w:pStyle w:val="Footer"/>
      <w:pBdr>
        <w:top w:val="thinThickSmallGap" w:sz="24" w:space="1" w:color="823B0B" w:themeColor="accent2" w:themeShade="7F"/>
      </w:pBdr>
      <w:rPr>
        <w:rFonts w:asciiTheme="majorHAnsi" w:eastAsiaTheme="majorEastAsia" w:hAnsiTheme="majorHAnsi" w:cstheme="majorBidi"/>
        <w:color w:val="A6A6A6" w:themeColor="background1" w:themeShade="A6"/>
        <w:sz w:val="18"/>
        <w:szCs w:val="18"/>
      </w:rPr>
    </w:pPr>
    <w:r w:rsidRPr="00594B0C">
      <w:rPr>
        <w:rFonts w:asciiTheme="majorHAnsi" w:eastAsiaTheme="majorEastAsia" w:hAnsiTheme="majorHAnsi" w:cstheme="majorBidi"/>
        <w:color w:val="A6A6A6" w:themeColor="background1" w:themeShade="A6"/>
        <w:sz w:val="18"/>
        <w:szCs w:val="18"/>
      </w:rPr>
      <w:t>NMC case definitions flipchart v</w:t>
    </w:r>
    <w:r>
      <w:rPr>
        <w:rFonts w:asciiTheme="majorHAnsi" w:eastAsiaTheme="majorEastAsia" w:hAnsiTheme="majorHAnsi" w:cstheme="majorBidi"/>
        <w:color w:val="A6A6A6" w:themeColor="background1" w:themeShade="A6"/>
        <w:sz w:val="18"/>
        <w:szCs w:val="18"/>
      </w:rPr>
      <w:t>7 April 2020</w:t>
    </w:r>
    <w:r w:rsidRPr="00594B0C">
      <w:rPr>
        <w:rFonts w:asciiTheme="majorHAnsi" w:eastAsiaTheme="majorEastAsia" w:hAnsiTheme="majorHAnsi" w:cstheme="majorBidi"/>
        <w:color w:val="A6A6A6" w:themeColor="background1" w:themeShade="A6"/>
        <w:sz w:val="18"/>
        <w:szCs w:val="18"/>
      </w:rPr>
      <w:ptab w:relativeTo="margin" w:alignment="right" w:leader="none"/>
    </w:r>
    <w:r w:rsidRPr="00594B0C">
      <w:rPr>
        <w:rFonts w:asciiTheme="majorHAnsi" w:eastAsiaTheme="majorEastAsia" w:hAnsiTheme="majorHAnsi" w:cstheme="majorBidi"/>
        <w:color w:val="A6A6A6" w:themeColor="background1" w:themeShade="A6"/>
        <w:sz w:val="18"/>
        <w:szCs w:val="18"/>
      </w:rPr>
      <w:t xml:space="preserve">Page </w:t>
    </w:r>
    <w:r w:rsidRPr="00594B0C">
      <w:rPr>
        <w:rFonts w:asciiTheme="minorHAnsi" w:eastAsiaTheme="minorEastAsia" w:hAnsiTheme="minorHAnsi" w:cstheme="minorBidi"/>
        <w:color w:val="A6A6A6" w:themeColor="background1" w:themeShade="A6"/>
        <w:sz w:val="18"/>
        <w:szCs w:val="18"/>
      </w:rPr>
      <w:fldChar w:fldCharType="begin"/>
    </w:r>
    <w:r w:rsidRPr="00594B0C">
      <w:rPr>
        <w:color w:val="A6A6A6" w:themeColor="background1" w:themeShade="A6"/>
        <w:sz w:val="18"/>
        <w:szCs w:val="18"/>
      </w:rPr>
      <w:instrText xml:space="preserve"> PAGE   \* MERGEFORMAT </w:instrText>
    </w:r>
    <w:r w:rsidRPr="00594B0C">
      <w:rPr>
        <w:rFonts w:asciiTheme="minorHAnsi" w:eastAsiaTheme="minorEastAsia" w:hAnsiTheme="minorHAnsi" w:cstheme="minorBidi"/>
        <w:color w:val="A6A6A6" w:themeColor="background1" w:themeShade="A6"/>
        <w:sz w:val="18"/>
        <w:szCs w:val="18"/>
      </w:rPr>
      <w:fldChar w:fldCharType="separate"/>
    </w:r>
    <w:r w:rsidRPr="004F79B6">
      <w:rPr>
        <w:rFonts w:asciiTheme="majorHAnsi" w:eastAsiaTheme="majorEastAsia" w:hAnsiTheme="majorHAnsi" w:cstheme="majorBidi"/>
        <w:noProof/>
        <w:color w:val="A6A6A6" w:themeColor="background1" w:themeShade="A6"/>
        <w:sz w:val="18"/>
        <w:szCs w:val="18"/>
      </w:rPr>
      <w:t>2</w:t>
    </w:r>
    <w:r w:rsidRPr="00594B0C">
      <w:rPr>
        <w:rFonts w:asciiTheme="majorHAnsi" w:eastAsiaTheme="majorEastAsia" w:hAnsiTheme="majorHAnsi" w:cstheme="majorBidi"/>
        <w:noProof/>
        <w:color w:val="A6A6A6" w:themeColor="background1" w:themeShade="A6"/>
        <w:sz w:val="18"/>
        <w:szCs w:val="18"/>
      </w:rPr>
      <w:fldChar w:fldCharType="end"/>
    </w:r>
  </w:p>
  <w:p w14:paraId="1A54F51B" w14:textId="77777777" w:rsidR="00DF0E85" w:rsidRDefault="001E0B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E77A" w14:textId="77777777" w:rsidR="00DF0E85" w:rsidRPr="004A0C98" w:rsidRDefault="001E0B37" w:rsidP="007E3E30">
    <w:pPr>
      <w:pStyle w:val="Header"/>
      <w:pBdr>
        <w:bottom w:val="thickThinSmallGap" w:sz="24" w:space="1" w:color="823B0B" w:themeColor="accent2" w:themeShade="7F"/>
      </w:pBdr>
      <w:rPr>
        <w:rFonts w:ascii="Arial" w:eastAsia="Times New Roman" w:hAnsi="Arial" w:cs="Arial"/>
        <w:noProof/>
        <w:lang w:eastAsia="en-ZA"/>
      </w:rPr>
    </w:pPr>
    <w:r w:rsidRPr="00DA0E37">
      <w:rPr>
        <w:rFonts w:asciiTheme="majorHAnsi" w:eastAsiaTheme="majorEastAsia" w:hAnsiTheme="majorHAnsi" w:cstheme="majorBidi"/>
        <w:sz w:val="32"/>
        <w:szCs w:val="32"/>
        <w:lang w:val="en-US"/>
      </w:rPr>
      <w:t xml:space="preserve">   </w:t>
    </w:r>
    <w:r w:rsidRPr="00DA0E37">
      <w:rPr>
        <w:rFonts w:ascii="Times New Roman" w:eastAsia="Times New Roman" w:hAnsi="Times New Roman" w:cs="Arial"/>
        <w:b/>
        <w:noProof/>
        <w:color w:val="00B050"/>
        <w:sz w:val="40"/>
        <w:szCs w:val="40"/>
        <w:lang w:eastAsia="en-ZA"/>
      </w:rPr>
      <w:drawing>
        <wp:inline distT="0" distB="0" distL="0" distR="0" wp14:anchorId="1C2B0D0F" wp14:editId="3AA0AC60">
          <wp:extent cx="1360423" cy="563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D.jpg"/>
                  <pic:cNvPicPr/>
                </pic:nvPicPr>
                <pic:blipFill>
                  <a:blip r:embed="rId1">
                    <a:extLst>
                      <a:ext uri="{28A0092B-C50C-407E-A947-70E740481C1C}">
                        <a14:useLocalDpi xmlns:a14="http://schemas.microsoft.com/office/drawing/2010/main" val="0"/>
                      </a:ext>
                    </a:extLst>
                  </a:blip>
                  <a:stretch>
                    <a:fillRect/>
                  </a:stretch>
                </pic:blipFill>
                <pic:spPr>
                  <a:xfrm>
                    <a:off x="0" y="0"/>
                    <a:ext cx="1360423" cy="563880"/>
                  </a:xfrm>
                  <a:prstGeom prst="rect">
                    <a:avLst/>
                  </a:prstGeom>
                </pic:spPr>
              </pic:pic>
            </a:graphicData>
          </a:graphic>
        </wp:inline>
      </w:drawing>
    </w:r>
    <w:r w:rsidRPr="00DA0E37">
      <w:rPr>
        <w:rFonts w:asciiTheme="majorHAnsi" w:eastAsiaTheme="majorEastAsia" w:hAnsiTheme="majorHAnsi" w:cstheme="majorBidi"/>
        <w:sz w:val="32"/>
        <w:szCs w:val="32"/>
        <w:lang w:val="en-US"/>
      </w:rPr>
      <w:t xml:space="preserve">           </w:t>
    </w:r>
    <w:r>
      <w:rPr>
        <w:rFonts w:asciiTheme="majorHAnsi" w:eastAsiaTheme="majorEastAsia" w:hAnsiTheme="majorHAnsi" w:cstheme="majorBidi"/>
        <w:b/>
        <w:sz w:val="24"/>
        <w:szCs w:val="24"/>
        <w:lang w:val="en-US"/>
      </w:rPr>
      <w:t xml:space="preserve">NOTIFIABLE MEDICAL </w:t>
    </w:r>
    <w:r>
      <w:rPr>
        <w:rFonts w:asciiTheme="majorHAnsi" w:eastAsiaTheme="majorEastAsia" w:hAnsiTheme="majorHAnsi" w:cstheme="majorBidi"/>
        <w:b/>
        <w:sz w:val="24"/>
        <w:szCs w:val="24"/>
        <w:lang w:val="en-US"/>
      </w:rPr>
      <w:t>CONDITIONS (NMC)</w:t>
    </w:r>
    <w:r w:rsidRPr="00DA0E37">
      <w:rPr>
        <w:rFonts w:asciiTheme="majorHAnsi" w:eastAsiaTheme="majorEastAsia" w:hAnsiTheme="majorHAnsi" w:cstheme="majorBidi"/>
        <w:b/>
        <w:sz w:val="24"/>
        <w:szCs w:val="24"/>
        <w:lang w:val="en-US"/>
      </w:rPr>
      <w:t xml:space="preserve"> CASE DEFINITIONS </w:t>
    </w:r>
    <w:r>
      <w:rPr>
        <w:rFonts w:asciiTheme="majorHAnsi" w:eastAsiaTheme="majorEastAsia" w:hAnsiTheme="majorHAnsi" w:cstheme="majorBidi"/>
        <w:b/>
        <w:sz w:val="24"/>
        <w:szCs w:val="24"/>
        <w:lang w:val="en-US"/>
      </w:rPr>
      <w:t>FLIPCHART</w:t>
    </w:r>
    <w:r w:rsidRPr="00DA0E37">
      <w:rPr>
        <w:rFonts w:asciiTheme="majorHAnsi" w:eastAsiaTheme="majorEastAsia" w:hAnsiTheme="majorHAnsi" w:cstheme="majorBidi"/>
        <w:b/>
        <w:sz w:val="28"/>
        <w:szCs w:val="28"/>
        <w:lang w:val="en-US"/>
      </w:rPr>
      <w:t xml:space="preserve"> </w:t>
    </w:r>
    <w:r w:rsidRPr="00DA0E37">
      <w:rPr>
        <w:rFonts w:asciiTheme="majorHAnsi" w:eastAsiaTheme="majorEastAsia" w:hAnsiTheme="majorHAnsi" w:cstheme="majorBidi"/>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77CA6"/>
    <w:multiLevelType w:val="hybridMultilevel"/>
    <w:tmpl w:val="FEB86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37"/>
    <w:rsid w:val="00165B96"/>
    <w:rsid w:val="001E0B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058E7AD"/>
  <w15:chartTrackingRefBased/>
  <w15:docId w15:val="{F0496C9A-865C-2140-9DA8-CEBEC704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37"/>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B37"/>
    <w:pPr>
      <w:ind w:left="720"/>
    </w:pPr>
  </w:style>
  <w:style w:type="table" w:styleId="TableGrid">
    <w:name w:val="Table Grid"/>
    <w:basedOn w:val="TableNormal"/>
    <w:uiPriority w:val="59"/>
    <w:rsid w:val="001E0B37"/>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E0B37"/>
    <w:pPr>
      <w:tabs>
        <w:tab w:val="center" w:pos="4513"/>
        <w:tab w:val="right" w:pos="9026"/>
      </w:tabs>
    </w:pPr>
  </w:style>
  <w:style w:type="character" w:customStyle="1" w:styleId="HeaderChar">
    <w:name w:val="Header Char"/>
    <w:basedOn w:val="DefaultParagraphFont"/>
    <w:link w:val="Header"/>
    <w:uiPriority w:val="99"/>
    <w:rsid w:val="001E0B37"/>
    <w:rPr>
      <w:rFonts w:ascii="Calibri" w:hAnsi="Calibri" w:cs="Times New Roman"/>
      <w:sz w:val="22"/>
      <w:szCs w:val="22"/>
    </w:rPr>
  </w:style>
  <w:style w:type="paragraph" w:styleId="Footer">
    <w:name w:val="footer"/>
    <w:basedOn w:val="Normal"/>
    <w:link w:val="FooterChar"/>
    <w:uiPriority w:val="99"/>
    <w:unhideWhenUsed/>
    <w:rsid w:val="001E0B37"/>
    <w:pPr>
      <w:tabs>
        <w:tab w:val="center" w:pos="4513"/>
        <w:tab w:val="right" w:pos="9026"/>
      </w:tabs>
    </w:pPr>
  </w:style>
  <w:style w:type="character" w:customStyle="1" w:styleId="FooterChar">
    <w:name w:val="Footer Char"/>
    <w:basedOn w:val="DefaultParagraphFont"/>
    <w:link w:val="Footer"/>
    <w:uiPriority w:val="99"/>
    <w:rsid w:val="001E0B37"/>
    <w:rPr>
      <w:rFonts w:ascii="Calibri" w:hAnsi="Calibri" w:cs="Times New Roman"/>
      <w:sz w:val="22"/>
      <w:szCs w:val="22"/>
    </w:rPr>
  </w:style>
  <w:style w:type="character" w:styleId="Hyperlink">
    <w:name w:val="Hyperlink"/>
    <w:basedOn w:val="DefaultParagraphFont"/>
    <w:uiPriority w:val="99"/>
    <w:unhideWhenUsed/>
    <w:rsid w:val="001E0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d.ac.za/diseases-a-z-index/meningoccocal-disease/" TargetMode="External"/><Relationship Id="rId5" Type="http://schemas.openxmlformats.org/officeDocument/2006/relationships/hyperlink" Target="mailto:annev@nicd.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2021-08-19T08:22:00Z</dcterms:created>
  <dcterms:modified xsi:type="dcterms:W3CDTF">2021-08-19T08:23:00Z</dcterms:modified>
</cp:coreProperties>
</file>