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6843D" w14:textId="77777777" w:rsidR="001E40CC" w:rsidRPr="00F25886" w:rsidRDefault="001E40CC" w:rsidP="001E40CC">
      <w:pPr>
        <w:spacing w:after="200" w:line="276" w:lineRule="auto"/>
        <w:rPr>
          <w:rFonts w:asciiTheme="minorHAnsi" w:hAnsiTheme="minorHAnsi" w:cstheme="minorHAnsi"/>
          <w:b/>
          <w:bCs/>
          <w:color w:val="FF0000"/>
        </w:rPr>
      </w:pPr>
      <w:r w:rsidRPr="00F25886">
        <w:rPr>
          <w:rFonts w:asciiTheme="minorHAnsi" w:hAnsiTheme="minorHAnsi" w:cstheme="minorHAnsi"/>
          <w:b/>
          <w:bCs/>
          <w:color w:val="FF0000"/>
        </w:rPr>
        <w:t>Category 1: Immediate reporting telephonically followed by written or electronic notification within 24hrs of diagnosing a case</w:t>
      </w:r>
    </w:p>
    <w:p w14:paraId="487BFF7C" w14:textId="77777777" w:rsidR="001E40CC" w:rsidRPr="00F25886" w:rsidRDefault="001E40CC" w:rsidP="001E40CC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  <w:lang w:val="en-US"/>
        </w:rPr>
      </w:pPr>
      <w:r w:rsidRPr="00F25886">
        <w:rPr>
          <w:rFonts w:asciiTheme="minorHAnsi" w:hAnsiTheme="minorHAnsi" w:cstheme="minorHAnsi"/>
          <w:b/>
          <w:color w:val="000000"/>
          <w:sz w:val="24"/>
          <w:szCs w:val="24"/>
          <w:lang w:val="en-US"/>
        </w:rPr>
        <w:t>DIPHTHERIA</w:t>
      </w:r>
    </w:p>
    <w:p w14:paraId="58052464" w14:textId="77777777" w:rsidR="001E40CC" w:rsidRPr="00F25886" w:rsidRDefault="001E40CC" w:rsidP="001E40CC">
      <w:pPr>
        <w:rPr>
          <w:rFonts w:asciiTheme="minorHAnsi" w:hAnsiTheme="minorHAnsi" w:cstheme="minorHAnsi"/>
        </w:rPr>
      </w:pPr>
    </w:p>
    <w:tbl>
      <w:tblPr>
        <w:tblStyle w:val="TableGrid"/>
        <w:tblW w:w="15877" w:type="dxa"/>
        <w:tblInd w:w="-880" w:type="dxa"/>
        <w:tblLook w:val="04A0" w:firstRow="1" w:lastRow="0" w:firstColumn="1" w:lastColumn="0" w:noHBand="0" w:noVBand="1"/>
      </w:tblPr>
      <w:tblGrid>
        <w:gridCol w:w="3710"/>
        <w:gridCol w:w="2410"/>
        <w:gridCol w:w="2557"/>
        <w:gridCol w:w="4438"/>
        <w:gridCol w:w="2762"/>
      </w:tblGrid>
      <w:tr w:rsidR="001E40CC" w:rsidRPr="00F25886" w14:paraId="46DF4440" w14:textId="77777777" w:rsidTr="000006D7">
        <w:trPr>
          <w:trHeight w:val="20"/>
        </w:trPr>
        <w:tc>
          <w:tcPr>
            <w:tcW w:w="3710" w:type="dxa"/>
          </w:tcPr>
          <w:p w14:paraId="58520331" w14:textId="77777777" w:rsidR="001E40CC" w:rsidRPr="00F25886" w:rsidRDefault="001E40CC" w:rsidP="000006D7">
            <w:pPr>
              <w:rPr>
                <w:rFonts w:asciiTheme="minorHAnsi" w:hAnsiTheme="minorHAnsi" w:cstheme="minorHAnsi"/>
                <w:b/>
                <w:color w:val="538135" w:themeColor="accent6" w:themeShade="BF"/>
                <w:sz w:val="24"/>
                <w:szCs w:val="24"/>
              </w:rPr>
            </w:pPr>
            <w:r w:rsidRPr="00F25886">
              <w:rPr>
                <w:rFonts w:asciiTheme="minorHAnsi" w:hAnsiTheme="minorHAnsi" w:cstheme="minorHAnsi"/>
                <w:b/>
                <w:color w:val="538135" w:themeColor="accent6" w:themeShade="BF"/>
                <w:sz w:val="24"/>
                <w:szCs w:val="24"/>
              </w:rPr>
              <w:t>Why is surveillance necessary?</w:t>
            </w:r>
          </w:p>
        </w:tc>
        <w:tc>
          <w:tcPr>
            <w:tcW w:w="2410" w:type="dxa"/>
          </w:tcPr>
          <w:p w14:paraId="5D515A19" w14:textId="77777777" w:rsidR="001E40CC" w:rsidRPr="00F25886" w:rsidRDefault="001E40CC" w:rsidP="000006D7">
            <w:pPr>
              <w:rPr>
                <w:rFonts w:asciiTheme="minorHAnsi" w:hAnsiTheme="minorHAnsi" w:cstheme="minorHAnsi"/>
                <w:b/>
                <w:color w:val="538135" w:themeColor="accent6" w:themeShade="BF"/>
                <w:sz w:val="24"/>
                <w:szCs w:val="24"/>
              </w:rPr>
            </w:pPr>
            <w:r w:rsidRPr="00F25886">
              <w:rPr>
                <w:rFonts w:asciiTheme="minorHAnsi" w:hAnsiTheme="minorHAnsi" w:cstheme="minorHAnsi"/>
                <w:b/>
                <w:color w:val="538135" w:themeColor="accent6" w:themeShade="BF"/>
                <w:sz w:val="24"/>
                <w:szCs w:val="24"/>
              </w:rPr>
              <w:t>Who must notify and when?</w:t>
            </w:r>
          </w:p>
          <w:p w14:paraId="14FA4F1F" w14:textId="77777777" w:rsidR="001E40CC" w:rsidRPr="00F25886" w:rsidRDefault="001E40CC" w:rsidP="000006D7">
            <w:pPr>
              <w:pStyle w:val="ListParagraph"/>
              <w:ind w:left="251"/>
              <w:rPr>
                <w:rFonts w:asciiTheme="minorHAnsi" w:hAnsiTheme="minorHAnsi" w:cstheme="minorHAnsi"/>
              </w:rPr>
            </w:pPr>
          </w:p>
        </w:tc>
        <w:tc>
          <w:tcPr>
            <w:tcW w:w="2557" w:type="dxa"/>
          </w:tcPr>
          <w:p w14:paraId="61BA0A2A" w14:textId="77777777" w:rsidR="001E40CC" w:rsidRPr="00F25886" w:rsidRDefault="001E40CC" w:rsidP="000006D7">
            <w:pPr>
              <w:rPr>
                <w:rFonts w:asciiTheme="minorHAnsi" w:hAnsiTheme="minorHAnsi" w:cstheme="minorHAnsi"/>
                <w:b/>
                <w:color w:val="538135" w:themeColor="accent6" w:themeShade="BF"/>
                <w:sz w:val="24"/>
                <w:szCs w:val="24"/>
              </w:rPr>
            </w:pPr>
            <w:r w:rsidRPr="00F25886">
              <w:rPr>
                <w:rFonts w:asciiTheme="minorHAnsi" w:hAnsiTheme="minorHAnsi" w:cstheme="minorHAnsi"/>
                <w:b/>
                <w:color w:val="538135" w:themeColor="accent6" w:themeShade="BF"/>
                <w:sz w:val="24"/>
                <w:szCs w:val="24"/>
              </w:rPr>
              <w:t>Suspected case definition</w:t>
            </w:r>
          </w:p>
          <w:p w14:paraId="3924C60C" w14:textId="77777777" w:rsidR="001E40CC" w:rsidRPr="00F25886" w:rsidRDefault="001E40CC" w:rsidP="000006D7">
            <w:pPr>
              <w:rPr>
                <w:rFonts w:asciiTheme="minorHAnsi" w:hAnsiTheme="minorHAnsi" w:cstheme="minorHAnsi"/>
                <w:b/>
                <w:color w:val="538135" w:themeColor="accent6" w:themeShade="BF"/>
              </w:rPr>
            </w:pPr>
          </w:p>
        </w:tc>
        <w:tc>
          <w:tcPr>
            <w:tcW w:w="4438" w:type="dxa"/>
          </w:tcPr>
          <w:p w14:paraId="52CE9D90" w14:textId="77777777" w:rsidR="001E40CC" w:rsidRPr="00F25886" w:rsidRDefault="001E40CC" w:rsidP="000006D7">
            <w:pPr>
              <w:rPr>
                <w:rFonts w:asciiTheme="minorHAnsi" w:hAnsiTheme="minorHAnsi" w:cstheme="minorHAnsi"/>
                <w:b/>
                <w:color w:val="538135" w:themeColor="accent6" w:themeShade="BF"/>
                <w:sz w:val="24"/>
                <w:szCs w:val="24"/>
              </w:rPr>
            </w:pPr>
            <w:r w:rsidRPr="00F25886">
              <w:rPr>
                <w:rFonts w:asciiTheme="minorHAnsi" w:hAnsiTheme="minorHAnsi" w:cstheme="minorHAnsi"/>
                <w:b/>
                <w:color w:val="538135" w:themeColor="accent6" w:themeShade="BF"/>
                <w:sz w:val="24"/>
                <w:szCs w:val="24"/>
              </w:rPr>
              <w:t>Probable case definition</w:t>
            </w:r>
          </w:p>
        </w:tc>
        <w:tc>
          <w:tcPr>
            <w:tcW w:w="2762" w:type="dxa"/>
          </w:tcPr>
          <w:p w14:paraId="5B7F8A08" w14:textId="77777777" w:rsidR="001E40CC" w:rsidRPr="00F25886" w:rsidRDefault="001E40CC" w:rsidP="000006D7">
            <w:pPr>
              <w:rPr>
                <w:rFonts w:asciiTheme="minorHAnsi" w:hAnsiTheme="minorHAnsi" w:cstheme="minorHAnsi"/>
                <w:b/>
                <w:color w:val="538135" w:themeColor="accent6" w:themeShade="BF"/>
                <w:sz w:val="24"/>
                <w:szCs w:val="24"/>
              </w:rPr>
            </w:pPr>
            <w:r w:rsidRPr="00F25886">
              <w:rPr>
                <w:rFonts w:asciiTheme="minorHAnsi" w:hAnsiTheme="minorHAnsi" w:cstheme="minorHAnsi"/>
                <w:b/>
                <w:color w:val="538135" w:themeColor="accent6" w:themeShade="BF"/>
                <w:sz w:val="24"/>
                <w:szCs w:val="24"/>
              </w:rPr>
              <w:t>Confirmed case definition</w:t>
            </w:r>
          </w:p>
        </w:tc>
      </w:tr>
      <w:tr w:rsidR="001E40CC" w:rsidRPr="00F25886" w14:paraId="555E9F1E" w14:textId="77777777" w:rsidTr="000006D7">
        <w:tc>
          <w:tcPr>
            <w:tcW w:w="3710" w:type="dxa"/>
            <w:shd w:val="clear" w:color="auto" w:fill="D9D9D9" w:themeFill="background1" w:themeFillShade="D9"/>
          </w:tcPr>
          <w:p w14:paraId="7E4A21F0" w14:textId="77777777" w:rsidR="001E40CC" w:rsidRPr="00F25886" w:rsidRDefault="001E40CC" w:rsidP="00000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7D04FA75" w14:textId="77777777" w:rsidR="001E40CC" w:rsidRPr="00F25886" w:rsidRDefault="001E40CC" w:rsidP="00000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7" w:type="dxa"/>
            <w:shd w:val="clear" w:color="auto" w:fill="D9D9D9" w:themeFill="background1" w:themeFillShade="D9"/>
          </w:tcPr>
          <w:p w14:paraId="43094786" w14:textId="77777777" w:rsidR="001E40CC" w:rsidRPr="00F25886" w:rsidRDefault="001E40CC" w:rsidP="00000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38" w:type="dxa"/>
            <w:shd w:val="clear" w:color="auto" w:fill="D9D9D9" w:themeFill="background1" w:themeFillShade="D9"/>
          </w:tcPr>
          <w:p w14:paraId="5609C49B" w14:textId="77777777" w:rsidR="001E40CC" w:rsidRPr="00F25886" w:rsidRDefault="001E40CC" w:rsidP="00000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62" w:type="dxa"/>
            <w:shd w:val="clear" w:color="auto" w:fill="D9D9D9" w:themeFill="background1" w:themeFillShade="D9"/>
          </w:tcPr>
          <w:p w14:paraId="4FC861D9" w14:textId="77777777" w:rsidR="001E40CC" w:rsidRPr="00F25886" w:rsidRDefault="001E40CC" w:rsidP="000006D7">
            <w:pPr>
              <w:rPr>
                <w:rFonts w:asciiTheme="minorHAnsi" w:hAnsiTheme="minorHAnsi" w:cstheme="minorHAnsi"/>
              </w:rPr>
            </w:pPr>
          </w:p>
        </w:tc>
      </w:tr>
      <w:tr w:rsidR="001E40CC" w:rsidRPr="00F25886" w14:paraId="0A9C737C" w14:textId="77777777" w:rsidTr="000006D7">
        <w:tc>
          <w:tcPr>
            <w:tcW w:w="3710" w:type="dxa"/>
          </w:tcPr>
          <w:p w14:paraId="2A0B2135" w14:textId="77777777" w:rsidR="001E40CC" w:rsidRPr="00F25886" w:rsidRDefault="001E40CC" w:rsidP="000006D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886">
              <w:rPr>
                <w:rFonts w:asciiTheme="minorHAnsi" w:hAnsiTheme="minorHAnsi" w:cstheme="minorHAnsi"/>
                <w:sz w:val="20"/>
                <w:szCs w:val="20"/>
              </w:rPr>
              <w:t xml:space="preserve">Diphtheria is caused by infection with toxin-producing strains of </w:t>
            </w:r>
            <w:r w:rsidRPr="00F25886">
              <w:rPr>
                <w:rFonts w:asciiTheme="minorHAnsi" w:hAnsiTheme="minorHAnsi" w:cstheme="minorHAnsi"/>
                <w:i/>
                <w:sz w:val="20"/>
                <w:szCs w:val="20"/>
              </w:rPr>
              <w:t>Corynebacterium diphtheriae</w:t>
            </w:r>
            <w:r w:rsidRPr="00F25886">
              <w:rPr>
                <w:rFonts w:asciiTheme="minorHAnsi" w:hAnsiTheme="minorHAnsi" w:cstheme="minorHAnsi"/>
                <w:sz w:val="20"/>
                <w:szCs w:val="20"/>
              </w:rPr>
              <w:t xml:space="preserve"> or </w:t>
            </w:r>
            <w:r w:rsidRPr="00F2588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C. </w:t>
            </w:r>
            <w:proofErr w:type="spellStart"/>
            <w:r w:rsidRPr="00F25886">
              <w:rPr>
                <w:rFonts w:asciiTheme="minorHAnsi" w:hAnsiTheme="minorHAnsi" w:cstheme="minorHAnsi"/>
                <w:i/>
                <w:sz w:val="20"/>
                <w:szCs w:val="20"/>
              </w:rPr>
              <w:t>ulcerans</w:t>
            </w:r>
            <w:proofErr w:type="spellEnd"/>
            <w:r w:rsidRPr="00F25886">
              <w:rPr>
                <w:rFonts w:asciiTheme="minorHAnsi" w:hAnsiTheme="minorHAnsi" w:cstheme="minorHAnsi"/>
                <w:sz w:val="20"/>
                <w:szCs w:val="20"/>
              </w:rPr>
              <w:t xml:space="preserve"> or </w:t>
            </w:r>
            <w:r w:rsidRPr="00F25886">
              <w:rPr>
                <w:rFonts w:asciiTheme="minorHAnsi" w:hAnsiTheme="minorHAnsi" w:cstheme="minorHAnsi"/>
                <w:i/>
                <w:sz w:val="20"/>
                <w:szCs w:val="20"/>
              </w:rPr>
              <w:t>C. pseudotuberculosis</w:t>
            </w:r>
          </w:p>
          <w:p w14:paraId="0805C9E5" w14:textId="77777777" w:rsidR="001E40CC" w:rsidRPr="00F25886" w:rsidRDefault="001E40CC" w:rsidP="000006D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886">
              <w:rPr>
                <w:rFonts w:asciiTheme="minorHAnsi" w:hAnsiTheme="minorHAnsi" w:cstheme="minorHAnsi"/>
                <w:sz w:val="20"/>
                <w:szCs w:val="20"/>
              </w:rPr>
              <w:t>Diphtheria is spread via respiratory droplets or direct contact with infected skin lesions from an infected person.</w:t>
            </w:r>
          </w:p>
          <w:p w14:paraId="611F0F49" w14:textId="77777777" w:rsidR="001E40CC" w:rsidRPr="00F25886" w:rsidRDefault="001E40CC" w:rsidP="000006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9A4D17" w14:textId="77777777" w:rsidR="001E40CC" w:rsidRPr="00F25886" w:rsidRDefault="001E40CC" w:rsidP="000006D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886">
              <w:rPr>
                <w:rFonts w:asciiTheme="minorHAnsi" w:hAnsiTheme="minorHAnsi" w:cstheme="minorHAnsi"/>
                <w:sz w:val="20"/>
                <w:szCs w:val="20"/>
              </w:rPr>
              <w:t xml:space="preserve">Diphtheria has a high mortality rate. Notification is essential because additional cases can be prevented amongst contacts by early administration of antibiotics. Persons who are fully vaccinated are not at risk of diphtheria. </w:t>
            </w:r>
          </w:p>
        </w:tc>
        <w:tc>
          <w:tcPr>
            <w:tcW w:w="2410" w:type="dxa"/>
          </w:tcPr>
          <w:p w14:paraId="5D8C68EF" w14:textId="77777777" w:rsidR="001E40CC" w:rsidRPr="00F25886" w:rsidRDefault="001E40CC" w:rsidP="000006D7">
            <w:pPr>
              <w:ind w:left="-32"/>
              <w:rPr>
                <w:rFonts w:asciiTheme="minorHAnsi" w:hAnsiTheme="minorHAnsi" w:cstheme="minorHAnsi"/>
                <w:sz w:val="20"/>
                <w:szCs w:val="20"/>
              </w:rPr>
            </w:pPr>
            <w:r w:rsidRPr="00F25886">
              <w:rPr>
                <w:rFonts w:asciiTheme="minorHAnsi" w:hAnsiTheme="minorHAnsi" w:cstheme="minorHAnsi"/>
                <w:sz w:val="20"/>
                <w:szCs w:val="20"/>
              </w:rPr>
              <w:t xml:space="preserve">The clinician who suspects diphtheria should notify the case immediately. </w:t>
            </w:r>
          </w:p>
          <w:p w14:paraId="6EA28325" w14:textId="77777777" w:rsidR="001E40CC" w:rsidRPr="00F25886" w:rsidRDefault="001E40CC" w:rsidP="000006D7">
            <w:pPr>
              <w:ind w:left="-3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8E18FA" w14:textId="77777777" w:rsidR="001E40CC" w:rsidRPr="00F25886" w:rsidRDefault="001E40CC" w:rsidP="000006D7">
            <w:pPr>
              <w:ind w:left="-32"/>
              <w:rPr>
                <w:rFonts w:asciiTheme="minorHAnsi" w:hAnsiTheme="minorHAnsi" w:cstheme="minorHAnsi"/>
                <w:sz w:val="20"/>
                <w:szCs w:val="20"/>
              </w:rPr>
            </w:pPr>
            <w:r w:rsidRPr="00F25886">
              <w:rPr>
                <w:rFonts w:asciiTheme="minorHAnsi" w:hAnsiTheme="minorHAnsi" w:cstheme="minorHAnsi"/>
                <w:sz w:val="20"/>
                <w:szCs w:val="32"/>
              </w:rPr>
              <w:t>Healthcare workers should NOT wait for laboratory confirmation before notifying cases.</w:t>
            </w:r>
          </w:p>
          <w:p w14:paraId="45611672" w14:textId="77777777" w:rsidR="001E40CC" w:rsidRPr="00F25886" w:rsidRDefault="001E40CC" w:rsidP="000006D7">
            <w:pPr>
              <w:ind w:left="-3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A6F559" w14:textId="77777777" w:rsidR="001E40CC" w:rsidRPr="00F25886" w:rsidRDefault="001E40CC" w:rsidP="000006D7">
            <w:pPr>
              <w:ind w:left="-3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1F1A51" w14:textId="77777777" w:rsidR="001E40CC" w:rsidRPr="00F25886" w:rsidRDefault="001E40CC" w:rsidP="000006D7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57" w:type="dxa"/>
          </w:tcPr>
          <w:p w14:paraId="5C417E19" w14:textId="77777777" w:rsidR="001E40CC" w:rsidRPr="00F25886" w:rsidRDefault="001E40CC" w:rsidP="000006D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886">
              <w:rPr>
                <w:rFonts w:asciiTheme="minorHAnsi" w:hAnsiTheme="minorHAnsi" w:cstheme="minorHAnsi"/>
                <w:sz w:val="20"/>
                <w:szCs w:val="20"/>
              </w:rPr>
              <w:t>A person who presents with an upper-respiratory tract illness</w:t>
            </w:r>
            <w:r w:rsidRPr="00F2588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characterised</w:t>
            </w:r>
            <w:r w:rsidRPr="00F25886">
              <w:rPr>
                <w:rFonts w:asciiTheme="minorHAnsi" w:hAnsiTheme="minorHAnsi" w:cstheme="minorHAnsi"/>
                <w:sz w:val="20"/>
                <w:szCs w:val="20"/>
              </w:rPr>
              <w:t xml:space="preserve"> by sore throat, low-grade fever AND an adherent membrane of the nose, pharynx, tonsils, or larynx. </w:t>
            </w:r>
          </w:p>
          <w:p w14:paraId="578F7BD8" w14:textId="77777777" w:rsidR="001E40CC" w:rsidRPr="00F25886" w:rsidRDefault="001E40CC" w:rsidP="000006D7">
            <w:pPr>
              <w:ind w:left="2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38" w:type="dxa"/>
          </w:tcPr>
          <w:p w14:paraId="368EE37D" w14:textId="77777777" w:rsidR="001E40CC" w:rsidRPr="00F25886" w:rsidRDefault="001E40CC" w:rsidP="000006D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886">
              <w:rPr>
                <w:rFonts w:asciiTheme="minorHAnsi" w:hAnsiTheme="minorHAnsi" w:cstheme="minorHAnsi"/>
                <w:sz w:val="20"/>
                <w:szCs w:val="20"/>
              </w:rPr>
              <w:t xml:space="preserve">A person who presents with an upper-respiratory tract illness characterised by sore throat, low-grade fever AND an adherent membrane of the nose, pharynx, tonsils, or larynx; </w:t>
            </w:r>
          </w:p>
          <w:p w14:paraId="22B9F9F8" w14:textId="77777777" w:rsidR="001E40CC" w:rsidRPr="00F25886" w:rsidRDefault="001E40CC" w:rsidP="000006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58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OR </w:t>
            </w:r>
          </w:p>
          <w:p w14:paraId="53B7647A" w14:textId="77777777" w:rsidR="001E40CC" w:rsidRPr="00F25886" w:rsidRDefault="001E40CC" w:rsidP="000006D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886">
              <w:rPr>
                <w:rFonts w:asciiTheme="minorHAnsi" w:hAnsiTheme="minorHAnsi" w:cstheme="minorHAnsi"/>
                <w:sz w:val="20"/>
                <w:szCs w:val="20"/>
              </w:rPr>
              <w:t xml:space="preserve">a person who has an epidemiological link to a confirmed case, who has respiratory tract symptoms but no membrane; </w:t>
            </w:r>
          </w:p>
          <w:p w14:paraId="3D967DCD" w14:textId="77777777" w:rsidR="001E40CC" w:rsidRPr="00F25886" w:rsidRDefault="001E40CC" w:rsidP="000006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58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OR </w:t>
            </w:r>
          </w:p>
          <w:p w14:paraId="51650760" w14:textId="77777777" w:rsidR="001E40CC" w:rsidRPr="00F25886" w:rsidRDefault="001E40CC" w:rsidP="000006D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886">
              <w:rPr>
                <w:rFonts w:asciiTheme="minorHAnsi" w:hAnsiTheme="minorHAnsi" w:cstheme="minorHAnsi"/>
                <w:sz w:val="20"/>
                <w:szCs w:val="20"/>
              </w:rPr>
              <w:t>a person with a skin lesion</w:t>
            </w:r>
          </w:p>
          <w:p w14:paraId="2BD8C8EA" w14:textId="77777777" w:rsidR="001E40CC" w:rsidRPr="00F25886" w:rsidRDefault="001E40CC" w:rsidP="000006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A08716" w14:textId="77777777" w:rsidR="001E40CC" w:rsidRPr="00F25886" w:rsidRDefault="001E40CC" w:rsidP="000006D7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F25886">
              <w:rPr>
                <w:rFonts w:asciiTheme="minorHAnsi" w:hAnsiTheme="minorHAnsi" w:cstheme="minorHAnsi"/>
                <w:b/>
                <w:sz w:val="20"/>
                <w:szCs w:val="20"/>
              </w:rPr>
              <w:t>AND</w:t>
            </w:r>
            <w:r w:rsidRPr="00F2588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</w:p>
          <w:p w14:paraId="476B14CF" w14:textId="77777777" w:rsidR="001E40CC" w:rsidRPr="00F25886" w:rsidRDefault="001E40CC" w:rsidP="000006D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2588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C. diphtheria or C. </w:t>
            </w:r>
            <w:proofErr w:type="spellStart"/>
            <w:r w:rsidRPr="00F25886">
              <w:rPr>
                <w:rFonts w:asciiTheme="minorHAnsi" w:hAnsiTheme="minorHAnsi" w:cstheme="minorHAnsi"/>
                <w:i/>
                <w:sz w:val="20"/>
                <w:szCs w:val="20"/>
              </w:rPr>
              <w:t>ulcerans</w:t>
            </w:r>
            <w:proofErr w:type="spellEnd"/>
            <w:r w:rsidRPr="00F2588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or C. pseudotuberculosis</w:t>
            </w:r>
          </w:p>
          <w:p w14:paraId="720A1D6A" w14:textId="77777777" w:rsidR="001E40CC" w:rsidRPr="00F25886" w:rsidRDefault="001E40CC" w:rsidP="000006D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886">
              <w:rPr>
                <w:rFonts w:asciiTheme="minorHAnsi" w:hAnsiTheme="minorHAnsi" w:cstheme="minorHAnsi"/>
                <w:sz w:val="20"/>
                <w:szCs w:val="20"/>
              </w:rPr>
              <w:t>has been isolated from relevant specimens but toxigenicity status has not been confirmed.</w:t>
            </w:r>
          </w:p>
          <w:p w14:paraId="09177202" w14:textId="77777777" w:rsidR="001E40CC" w:rsidRPr="00F25886" w:rsidRDefault="001E40CC" w:rsidP="000006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2" w:type="dxa"/>
          </w:tcPr>
          <w:p w14:paraId="637D6C00" w14:textId="77777777" w:rsidR="001E40CC" w:rsidRPr="00F25886" w:rsidRDefault="001E40CC" w:rsidP="000006D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886">
              <w:rPr>
                <w:rFonts w:asciiTheme="minorHAnsi" w:hAnsiTheme="minorHAnsi" w:cstheme="minorHAnsi"/>
                <w:sz w:val="20"/>
                <w:szCs w:val="20"/>
              </w:rPr>
              <w:t>Any person with signs and symptoms consistent with diphtheria (respiratory and/or cutaneous)</w:t>
            </w:r>
          </w:p>
          <w:p w14:paraId="5DA51B75" w14:textId="77777777" w:rsidR="001E40CC" w:rsidRPr="00F25886" w:rsidRDefault="001E40CC" w:rsidP="000006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5886">
              <w:rPr>
                <w:rFonts w:asciiTheme="minorHAnsi" w:hAnsiTheme="minorHAnsi" w:cstheme="minorHAnsi"/>
                <w:b/>
                <w:sz w:val="20"/>
                <w:szCs w:val="20"/>
              </w:rPr>
              <w:t>AND</w:t>
            </w:r>
          </w:p>
          <w:p w14:paraId="221B4114" w14:textId="77777777" w:rsidR="001E40CC" w:rsidRPr="00F25886" w:rsidRDefault="001E40CC" w:rsidP="000006D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886">
              <w:rPr>
                <w:rFonts w:asciiTheme="minorHAnsi" w:hAnsiTheme="minorHAnsi" w:cstheme="minorHAnsi"/>
                <w:sz w:val="20"/>
                <w:szCs w:val="20"/>
              </w:rPr>
              <w:t xml:space="preserve">a positive culture for or PCR detection of </w:t>
            </w:r>
            <w:r w:rsidRPr="00F25886">
              <w:rPr>
                <w:rFonts w:asciiTheme="minorHAnsi" w:hAnsiTheme="minorHAnsi" w:cstheme="minorHAnsi"/>
                <w:i/>
                <w:sz w:val="20"/>
                <w:szCs w:val="20"/>
              </w:rPr>
              <w:t>C. diphtheriae</w:t>
            </w:r>
            <w:r w:rsidRPr="00F25886">
              <w:rPr>
                <w:rFonts w:asciiTheme="minorHAnsi" w:hAnsiTheme="minorHAnsi" w:cstheme="minorHAnsi"/>
                <w:sz w:val="20"/>
                <w:szCs w:val="20"/>
              </w:rPr>
              <w:t xml:space="preserve"> or </w:t>
            </w:r>
            <w:r w:rsidRPr="00F2588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C. </w:t>
            </w:r>
            <w:proofErr w:type="spellStart"/>
            <w:r w:rsidRPr="00F25886">
              <w:rPr>
                <w:rFonts w:asciiTheme="minorHAnsi" w:hAnsiTheme="minorHAnsi" w:cstheme="minorHAnsi"/>
                <w:i/>
                <w:sz w:val="20"/>
                <w:szCs w:val="20"/>
              </w:rPr>
              <w:t>ulcerans</w:t>
            </w:r>
            <w:proofErr w:type="spellEnd"/>
            <w:r w:rsidRPr="00F25886">
              <w:rPr>
                <w:rFonts w:asciiTheme="minorHAnsi" w:hAnsiTheme="minorHAnsi" w:cstheme="minorHAnsi"/>
                <w:sz w:val="20"/>
                <w:szCs w:val="20"/>
              </w:rPr>
              <w:t xml:space="preserve"> or </w:t>
            </w:r>
            <w:r w:rsidRPr="00F25886">
              <w:rPr>
                <w:rFonts w:asciiTheme="minorHAnsi" w:hAnsiTheme="minorHAnsi" w:cstheme="minorHAnsi"/>
                <w:i/>
                <w:sz w:val="20"/>
                <w:szCs w:val="20"/>
              </w:rPr>
              <w:t>C. pseudotuberculosis</w:t>
            </w:r>
            <w:r w:rsidRPr="00F25886">
              <w:rPr>
                <w:rFonts w:asciiTheme="minorHAnsi" w:hAnsiTheme="minorHAnsi" w:cstheme="minorHAnsi"/>
                <w:sz w:val="20"/>
                <w:szCs w:val="20"/>
              </w:rPr>
              <w:t xml:space="preserve"> from a clinical specimen which is confirmed to be </w:t>
            </w:r>
            <w:r w:rsidRPr="00F25886">
              <w:rPr>
                <w:rFonts w:asciiTheme="minorHAnsi" w:hAnsiTheme="minorHAnsi" w:cstheme="minorHAnsi"/>
                <w:i/>
                <w:sz w:val="20"/>
                <w:szCs w:val="20"/>
              </w:rPr>
              <w:t>tox</w:t>
            </w:r>
            <w:r w:rsidRPr="00F25886">
              <w:rPr>
                <w:rFonts w:asciiTheme="minorHAnsi" w:hAnsiTheme="minorHAnsi" w:cstheme="minorHAnsi"/>
                <w:sz w:val="20"/>
                <w:szCs w:val="20"/>
              </w:rPr>
              <w:t xml:space="preserve"> gene positive by PCR or toxin-producing by ELEK testing.</w:t>
            </w:r>
          </w:p>
        </w:tc>
      </w:tr>
      <w:tr w:rsidR="001E40CC" w:rsidRPr="00F25886" w14:paraId="2E7825D4" w14:textId="77777777" w:rsidTr="000006D7">
        <w:tc>
          <w:tcPr>
            <w:tcW w:w="15877" w:type="dxa"/>
            <w:gridSpan w:val="5"/>
          </w:tcPr>
          <w:p w14:paraId="2F072002" w14:textId="77777777" w:rsidR="001E40CC" w:rsidRPr="00F25886" w:rsidRDefault="001E40CC" w:rsidP="000006D7">
            <w:pPr>
              <w:rPr>
                <w:rFonts w:asciiTheme="minorHAnsi" w:hAnsiTheme="minorHAnsi" w:cstheme="minorHAnsi"/>
                <w:b/>
                <w:color w:val="538135" w:themeColor="accent6" w:themeShade="BF"/>
                <w:sz w:val="24"/>
              </w:rPr>
            </w:pPr>
            <w:r w:rsidRPr="00F25886">
              <w:rPr>
                <w:rFonts w:asciiTheme="minorHAnsi" w:hAnsiTheme="minorHAnsi" w:cstheme="minorHAnsi"/>
                <w:b/>
                <w:color w:val="538135" w:themeColor="accent6" w:themeShade="BF"/>
                <w:sz w:val="24"/>
              </w:rPr>
              <w:t xml:space="preserve">Additional notes </w:t>
            </w:r>
          </w:p>
          <w:p w14:paraId="3F63BCE6" w14:textId="77777777" w:rsidR="001E40CC" w:rsidRPr="00F25886" w:rsidRDefault="001E40CC" w:rsidP="000006D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5886">
              <w:rPr>
                <w:rFonts w:asciiTheme="minorHAnsi" w:hAnsiTheme="minorHAnsi" w:cstheme="minorHAnsi"/>
                <w:sz w:val="20"/>
                <w:szCs w:val="20"/>
              </w:rPr>
              <w:t xml:space="preserve">Clinicians who suspect diphtheria should contact the NICD 24-hour hotline (082-883-9920) for assistance with specimen collection and diagnosis. It is essential to: 1)  collect a throat swab from suspected cases using the correct procedures, and 2) to complete a case investigation to provide authorities with information to identify contacts and implement prevention measures. See resources below. </w:t>
            </w:r>
          </w:p>
          <w:p w14:paraId="7052AB07" w14:textId="77777777" w:rsidR="001E40CC" w:rsidRPr="00F25886" w:rsidRDefault="001E40CC" w:rsidP="000006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E40CC" w:rsidRPr="00F25886" w14:paraId="1DC7687C" w14:textId="77777777" w:rsidTr="000006D7">
        <w:tc>
          <w:tcPr>
            <w:tcW w:w="15877" w:type="dxa"/>
            <w:gridSpan w:val="5"/>
          </w:tcPr>
          <w:p w14:paraId="524FFA46" w14:textId="77777777" w:rsidR="001E40CC" w:rsidRPr="00F25886" w:rsidRDefault="001E40CC" w:rsidP="000006D7">
            <w:pPr>
              <w:rPr>
                <w:rFonts w:asciiTheme="minorHAnsi" w:hAnsiTheme="minorHAnsi" w:cstheme="minorHAnsi"/>
                <w:b/>
                <w:color w:val="538135" w:themeColor="accent6" w:themeShade="BF"/>
                <w:sz w:val="24"/>
              </w:rPr>
            </w:pPr>
            <w:r w:rsidRPr="00F25886">
              <w:rPr>
                <w:rFonts w:asciiTheme="minorHAnsi" w:hAnsiTheme="minorHAnsi" w:cstheme="minorHAnsi"/>
                <w:b/>
                <w:color w:val="538135" w:themeColor="accent6" w:themeShade="BF"/>
                <w:sz w:val="24"/>
              </w:rPr>
              <w:t>Additional resources</w:t>
            </w:r>
          </w:p>
          <w:p w14:paraId="61413B79" w14:textId="77777777" w:rsidR="001E40CC" w:rsidRPr="00F25886" w:rsidRDefault="001E40CC" w:rsidP="000006D7">
            <w:pPr>
              <w:rPr>
                <w:rFonts w:asciiTheme="minorHAnsi" w:hAnsiTheme="minorHAnsi" w:cstheme="minorHAnsi"/>
              </w:rPr>
            </w:pPr>
            <w:r w:rsidRPr="00F25886">
              <w:rPr>
                <w:rFonts w:asciiTheme="minorHAnsi" w:hAnsiTheme="minorHAnsi" w:cstheme="minorHAnsi"/>
                <w:sz w:val="20"/>
              </w:rPr>
              <w:t xml:space="preserve">A case-investigation form (CIF), frequently asked questions document (FAQ), Guidelines for the management and public health response to diphtheria (2018), and specimen collection guidelines are available at </w:t>
            </w:r>
            <w:hyperlink r:id="rId5" w:history="1">
              <w:r w:rsidRPr="00F25886">
                <w:rPr>
                  <w:rStyle w:val="Hyperlink"/>
                  <w:rFonts w:asciiTheme="minorHAnsi" w:hAnsiTheme="minorHAnsi" w:cstheme="minorHAnsi"/>
                </w:rPr>
                <w:t>http://www.nicd.ac.za/diseases-a-z-index/diphtheria/</w:t>
              </w:r>
            </w:hyperlink>
            <w:r w:rsidRPr="00F25886">
              <w:rPr>
                <w:rFonts w:asciiTheme="minorHAnsi" w:hAnsiTheme="minorHAnsi" w:cstheme="minorHAnsi"/>
              </w:rPr>
              <w:t xml:space="preserve"> </w:t>
            </w:r>
          </w:p>
          <w:p w14:paraId="1E938E50" w14:textId="77777777" w:rsidR="001E40CC" w:rsidRPr="00F25886" w:rsidRDefault="001E40CC" w:rsidP="000006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BF55827" w14:textId="2B2896EB" w:rsidR="001E40CC" w:rsidRPr="00F25886" w:rsidRDefault="001E40CC" w:rsidP="001E40CC">
      <w:pPr>
        <w:spacing w:after="200" w:line="276" w:lineRule="auto"/>
        <w:rPr>
          <w:rFonts w:asciiTheme="minorHAnsi" w:hAnsiTheme="minorHAnsi" w:cstheme="minorHAnsi"/>
          <w:b/>
          <w:bCs/>
          <w:color w:val="FF0000"/>
        </w:rPr>
      </w:pPr>
    </w:p>
    <w:sectPr w:rsidR="001E40CC" w:rsidRPr="00F25886" w:rsidSect="004A0C98">
      <w:headerReference w:type="default" r:id="rId6"/>
      <w:footerReference w:type="default" r:id="rId7"/>
      <w:footnotePr>
        <w:numFmt w:val="chicago"/>
        <w:numRestart w:val="eachPage"/>
      </w:footnotePr>
      <w:pgSz w:w="16838" w:h="11906" w:orient="landscape"/>
      <w:pgMar w:top="477" w:right="1440" w:bottom="709" w:left="1440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9361B" w14:textId="77777777" w:rsidR="00DF0E85" w:rsidRPr="00594B0C" w:rsidRDefault="001E40CC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  <w:color w:val="A6A6A6" w:themeColor="background1" w:themeShade="A6"/>
        <w:sz w:val="18"/>
        <w:szCs w:val="18"/>
      </w:rPr>
    </w:pPr>
    <w:r w:rsidRPr="00594B0C">
      <w:rPr>
        <w:rFonts w:asciiTheme="majorHAnsi" w:eastAsiaTheme="majorEastAsia" w:hAnsiTheme="majorHAnsi" w:cstheme="majorBidi"/>
        <w:color w:val="A6A6A6" w:themeColor="background1" w:themeShade="A6"/>
        <w:sz w:val="18"/>
        <w:szCs w:val="18"/>
      </w:rPr>
      <w:t>NMC case definitions flipchart v</w:t>
    </w:r>
    <w:r>
      <w:rPr>
        <w:rFonts w:asciiTheme="majorHAnsi" w:eastAsiaTheme="majorEastAsia" w:hAnsiTheme="majorHAnsi" w:cstheme="majorBidi"/>
        <w:color w:val="A6A6A6" w:themeColor="background1" w:themeShade="A6"/>
        <w:sz w:val="18"/>
        <w:szCs w:val="18"/>
      </w:rPr>
      <w:t>7 April 2020</w:t>
    </w:r>
    <w:r w:rsidRPr="00594B0C">
      <w:rPr>
        <w:rFonts w:asciiTheme="majorHAnsi" w:eastAsiaTheme="majorEastAsia" w:hAnsiTheme="majorHAnsi" w:cstheme="majorBidi"/>
        <w:color w:val="A6A6A6" w:themeColor="background1" w:themeShade="A6"/>
        <w:sz w:val="18"/>
        <w:szCs w:val="18"/>
      </w:rPr>
      <w:ptab w:relativeTo="margin" w:alignment="right" w:leader="none"/>
    </w:r>
    <w:r w:rsidRPr="00594B0C">
      <w:rPr>
        <w:rFonts w:asciiTheme="majorHAnsi" w:eastAsiaTheme="majorEastAsia" w:hAnsiTheme="majorHAnsi" w:cstheme="majorBidi"/>
        <w:color w:val="A6A6A6" w:themeColor="background1" w:themeShade="A6"/>
        <w:sz w:val="18"/>
        <w:szCs w:val="18"/>
      </w:rPr>
      <w:t xml:space="preserve">Page </w:t>
    </w:r>
    <w:r w:rsidRPr="00594B0C">
      <w:rPr>
        <w:rFonts w:asciiTheme="minorHAnsi" w:eastAsiaTheme="minorEastAsia" w:hAnsiTheme="minorHAnsi" w:cstheme="minorBidi"/>
        <w:color w:val="A6A6A6" w:themeColor="background1" w:themeShade="A6"/>
        <w:sz w:val="18"/>
        <w:szCs w:val="18"/>
      </w:rPr>
      <w:fldChar w:fldCharType="begin"/>
    </w:r>
    <w:r w:rsidRPr="00594B0C">
      <w:rPr>
        <w:color w:val="A6A6A6" w:themeColor="background1" w:themeShade="A6"/>
        <w:sz w:val="18"/>
        <w:szCs w:val="18"/>
      </w:rPr>
      <w:instrText xml:space="preserve"> PAGE   \* MERGEFORMAT </w:instrText>
    </w:r>
    <w:r w:rsidRPr="00594B0C">
      <w:rPr>
        <w:rFonts w:asciiTheme="minorHAnsi" w:eastAsiaTheme="minorEastAsia" w:hAnsiTheme="minorHAnsi" w:cstheme="minorBidi"/>
        <w:color w:val="A6A6A6" w:themeColor="background1" w:themeShade="A6"/>
        <w:sz w:val="18"/>
        <w:szCs w:val="18"/>
      </w:rPr>
      <w:fldChar w:fldCharType="separate"/>
    </w:r>
    <w:r w:rsidRPr="004F79B6">
      <w:rPr>
        <w:rFonts w:asciiTheme="majorHAnsi" w:eastAsiaTheme="majorEastAsia" w:hAnsiTheme="majorHAnsi" w:cstheme="majorBidi"/>
        <w:noProof/>
        <w:color w:val="A6A6A6" w:themeColor="background1" w:themeShade="A6"/>
        <w:sz w:val="18"/>
        <w:szCs w:val="18"/>
      </w:rPr>
      <w:t>2</w:t>
    </w:r>
    <w:r w:rsidRPr="00594B0C">
      <w:rPr>
        <w:rFonts w:asciiTheme="majorHAnsi" w:eastAsiaTheme="majorEastAsia" w:hAnsiTheme="majorHAnsi" w:cstheme="majorBidi"/>
        <w:noProof/>
        <w:color w:val="A6A6A6" w:themeColor="background1" w:themeShade="A6"/>
        <w:sz w:val="18"/>
        <w:szCs w:val="18"/>
      </w:rPr>
      <w:fldChar w:fldCharType="end"/>
    </w:r>
  </w:p>
  <w:p w14:paraId="763D7808" w14:textId="77777777" w:rsidR="00DF0E85" w:rsidRDefault="001E40C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460E3" w14:textId="77777777" w:rsidR="00DF0E85" w:rsidRPr="004A0C98" w:rsidRDefault="001E40CC" w:rsidP="007E3E30">
    <w:pPr>
      <w:pStyle w:val="Header"/>
      <w:pBdr>
        <w:bottom w:val="thickThinSmallGap" w:sz="24" w:space="1" w:color="823B0B" w:themeColor="accent2" w:themeShade="7F"/>
      </w:pBdr>
      <w:rPr>
        <w:rFonts w:ascii="Arial" w:eastAsia="Times New Roman" w:hAnsi="Arial" w:cs="Arial"/>
        <w:noProof/>
        <w:lang w:eastAsia="en-ZA"/>
      </w:rPr>
    </w:pPr>
    <w:r w:rsidRPr="00DA0E37">
      <w:rPr>
        <w:rFonts w:asciiTheme="majorHAnsi" w:eastAsiaTheme="majorEastAsia" w:hAnsiTheme="majorHAnsi" w:cstheme="majorBidi"/>
        <w:sz w:val="32"/>
        <w:szCs w:val="32"/>
        <w:lang w:val="en-US"/>
      </w:rPr>
      <w:t xml:space="preserve">   </w:t>
    </w:r>
    <w:r w:rsidRPr="00DA0E37">
      <w:rPr>
        <w:rFonts w:ascii="Times New Roman" w:eastAsia="Times New Roman" w:hAnsi="Times New Roman" w:cs="Arial"/>
        <w:b/>
        <w:noProof/>
        <w:color w:val="00B050"/>
        <w:sz w:val="40"/>
        <w:szCs w:val="40"/>
        <w:lang w:eastAsia="en-ZA"/>
      </w:rPr>
      <w:drawing>
        <wp:inline distT="0" distB="0" distL="0" distR="0" wp14:anchorId="488A5B3B" wp14:editId="7EDACE48">
          <wp:extent cx="1360423" cy="56388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IC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0423" cy="563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0E37">
      <w:rPr>
        <w:rFonts w:asciiTheme="majorHAnsi" w:eastAsiaTheme="majorEastAsia" w:hAnsiTheme="majorHAnsi" w:cstheme="majorBidi"/>
        <w:sz w:val="32"/>
        <w:szCs w:val="32"/>
        <w:lang w:val="en-US"/>
      </w:rPr>
      <w:t xml:space="preserve">           </w:t>
    </w:r>
    <w:r>
      <w:rPr>
        <w:rFonts w:asciiTheme="majorHAnsi" w:eastAsiaTheme="majorEastAsia" w:hAnsiTheme="majorHAnsi" w:cstheme="majorBidi"/>
        <w:b/>
        <w:sz w:val="24"/>
        <w:szCs w:val="24"/>
        <w:lang w:val="en-US"/>
      </w:rPr>
      <w:t xml:space="preserve">NOTIFIABLE MEDICAL </w:t>
    </w:r>
    <w:r>
      <w:rPr>
        <w:rFonts w:asciiTheme="majorHAnsi" w:eastAsiaTheme="majorEastAsia" w:hAnsiTheme="majorHAnsi" w:cstheme="majorBidi"/>
        <w:b/>
        <w:sz w:val="24"/>
        <w:szCs w:val="24"/>
        <w:lang w:val="en-US"/>
      </w:rPr>
      <w:t>CONDITIONS (NMC)</w:t>
    </w:r>
    <w:r w:rsidRPr="00DA0E37">
      <w:rPr>
        <w:rFonts w:asciiTheme="majorHAnsi" w:eastAsiaTheme="majorEastAsia" w:hAnsiTheme="majorHAnsi" w:cstheme="majorBidi"/>
        <w:b/>
        <w:sz w:val="24"/>
        <w:szCs w:val="24"/>
        <w:lang w:val="en-US"/>
      </w:rPr>
      <w:t xml:space="preserve"> CASE DEFINITIONS </w:t>
    </w:r>
    <w:r>
      <w:rPr>
        <w:rFonts w:asciiTheme="majorHAnsi" w:eastAsiaTheme="majorEastAsia" w:hAnsiTheme="majorHAnsi" w:cstheme="majorBidi"/>
        <w:b/>
        <w:sz w:val="24"/>
        <w:szCs w:val="24"/>
        <w:lang w:val="en-US"/>
      </w:rPr>
      <w:t>FLIPCHART</w:t>
    </w:r>
    <w:r w:rsidRPr="00DA0E37">
      <w:rPr>
        <w:rFonts w:asciiTheme="majorHAnsi" w:eastAsiaTheme="majorEastAsia" w:hAnsiTheme="majorHAnsi" w:cstheme="majorBidi"/>
        <w:b/>
        <w:sz w:val="28"/>
        <w:szCs w:val="28"/>
        <w:lang w:val="en-US"/>
      </w:rPr>
      <w:t xml:space="preserve"> </w:t>
    </w:r>
    <w:r w:rsidRPr="00DA0E37">
      <w:rPr>
        <w:rFonts w:asciiTheme="majorHAnsi" w:eastAsiaTheme="majorEastAsia" w:hAnsiTheme="majorHAnsi" w:cstheme="majorBidi"/>
        <w:sz w:val="32"/>
        <w:szCs w:val="32"/>
        <w:lang w:val="en-US"/>
      </w:rPr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677CA6"/>
    <w:multiLevelType w:val="hybridMultilevel"/>
    <w:tmpl w:val="FEB86B1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footnotePr>
    <w:numFmt w:val="chicago"/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0CC"/>
    <w:rsid w:val="00165B96"/>
    <w:rsid w:val="001E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9B43420"/>
  <w15:chartTrackingRefBased/>
  <w15:docId w15:val="{9E3F9C14-EB13-5E4E-9258-8535464C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0CC"/>
    <w:rPr>
      <w:rFonts w:ascii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0CC"/>
    <w:pPr>
      <w:ind w:left="720"/>
    </w:pPr>
  </w:style>
  <w:style w:type="table" w:styleId="TableGrid">
    <w:name w:val="Table Grid"/>
    <w:basedOn w:val="TableNormal"/>
    <w:uiPriority w:val="59"/>
    <w:rsid w:val="001E40CC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E40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0CC"/>
    <w:rPr>
      <w:rFonts w:ascii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E40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0CC"/>
    <w:rPr>
      <w:rFonts w:ascii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E40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www.nicd.ac.za/diseases-a-z-index/diphtheri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2021-08-19T08:20:00Z</dcterms:created>
  <dcterms:modified xsi:type="dcterms:W3CDTF">2021-08-19T08:22:00Z</dcterms:modified>
</cp:coreProperties>
</file>